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57" w:rsidRDefault="006C5B76" w:rsidP="00DD3469">
      <w:pPr>
        <w:spacing w:line="276" w:lineRule="auto"/>
        <w:jc w:val="center"/>
        <w:rPr>
          <w:sz w:val="24"/>
          <w:szCs w:val="24"/>
          <w:lang w:val="pl-PL"/>
        </w:rPr>
      </w:pPr>
      <w:permStart w:id="0" w:edGrp="everyone"/>
      <w:permEnd w:id="0"/>
      <w:r>
        <w:rPr>
          <w:sz w:val="24"/>
          <w:szCs w:val="24"/>
          <w:lang w:val="pl-PL"/>
        </w:rPr>
        <w:t>PROTOKÓŁ</w:t>
      </w:r>
    </w:p>
    <w:p w:rsidR="006C5B76" w:rsidRDefault="006C5B76" w:rsidP="00DD3469">
      <w:pPr>
        <w:spacing w:line="276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 konsultacji społecznych w sprawie statutu sołectwa Borówiec</w:t>
      </w:r>
    </w:p>
    <w:p w:rsidR="006C5B76" w:rsidRDefault="006C5B76" w:rsidP="00DD3469">
      <w:pPr>
        <w:spacing w:line="276" w:lineRule="auto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przeprowadzonych w dniu 11 sierpnia 2015r. z mieszkańcami sołectwa Borówiec</w:t>
      </w:r>
    </w:p>
    <w:p w:rsidR="006C5B76" w:rsidRDefault="006C5B76" w:rsidP="00DD3469">
      <w:pPr>
        <w:spacing w:line="276" w:lineRule="auto"/>
        <w:jc w:val="center"/>
        <w:rPr>
          <w:sz w:val="24"/>
          <w:szCs w:val="24"/>
          <w:lang w:val="pl-PL"/>
        </w:rPr>
      </w:pPr>
    </w:p>
    <w:p w:rsidR="006C5B76" w:rsidRDefault="006C5B76" w:rsidP="00DD3469">
      <w:pPr>
        <w:spacing w:line="276" w:lineRule="auto"/>
        <w:jc w:val="both"/>
        <w:rPr>
          <w:sz w:val="24"/>
          <w:szCs w:val="24"/>
          <w:lang w:val="pl-PL"/>
        </w:rPr>
      </w:pPr>
    </w:p>
    <w:p w:rsidR="006C5B76" w:rsidRDefault="006C5B76" w:rsidP="00DD3469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konsultacjach udział wzięli:</w:t>
      </w:r>
    </w:p>
    <w:p w:rsidR="006C5B76" w:rsidRDefault="006C5B76" w:rsidP="00DD34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Pan Leszek Książek – Sekretarz Gminy Kórnik</w:t>
      </w:r>
    </w:p>
    <w:p w:rsidR="006C5B76" w:rsidRDefault="006C5B76" w:rsidP="00DD34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Pan Przemysław Barczyński – Radca Prawny </w:t>
      </w:r>
    </w:p>
    <w:p w:rsidR="006C5B76" w:rsidRDefault="006C5B76" w:rsidP="00DD34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Pani Iwona Pawłowicz-Napieralska – pracownik Urzędu Miejskiego w Kórniku</w:t>
      </w:r>
    </w:p>
    <w:p w:rsidR="006C5B76" w:rsidRDefault="006C5B76" w:rsidP="00DD34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Pani Agnieszka Wiśniewska - pracownik Urzędu Miejskiego w Kórniku</w:t>
      </w:r>
    </w:p>
    <w:p w:rsidR="006C5B76" w:rsidRDefault="006C5B76" w:rsidP="00DD3469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oraz mieszkańcy sołectwa Borówiec – lista obecności stanowi załącznik do protokołu.</w:t>
      </w:r>
    </w:p>
    <w:p w:rsidR="006C5B76" w:rsidRDefault="006C5B76" w:rsidP="00DD3469">
      <w:pPr>
        <w:spacing w:line="276" w:lineRule="auto"/>
        <w:jc w:val="both"/>
        <w:rPr>
          <w:sz w:val="24"/>
          <w:szCs w:val="24"/>
          <w:lang w:val="pl-PL"/>
        </w:rPr>
      </w:pPr>
    </w:p>
    <w:p w:rsidR="006C5B76" w:rsidRDefault="006C5B76" w:rsidP="00DD3469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związku podjętą uchwałą Rady Miejskiej w Kórniku z dnia </w:t>
      </w:r>
      <w:r w:rsidR="009A45BF">
        <w:rPr>
          <w:sz w:val="24"/>
          <w:szCs w:val="24"/>
          <w:lang w:val="pl-PL"/>
        </w:rPr>
        <w:t>24</w:t>
      </w:r>
      <w:r>
        <w:rPr>
          <w:sz w:val="24"/>
          <w:szCs w:val="24"/>
          <w:lang w:val="pl-PL"/>
        </w:rPr>
        <w:t xml:space="preserve"> czerwca 2015r. nr </w:t>
      </w:r>
      <w:r w:rsidR="009A45BF">
        <w:rPr>
          <w:sz w:val="24"/>
          <w:szCs w:val="24"/>
          <w:lang w:val="pl-PL"/>
        </w:rPr>
        <w:t>X/104/15</w:t>
      </w:r>
      <w:r w:rsidR="009A45BF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 xml:space="preserve"> o podziale sołectwa Borówiec na dwa sołectwa: Sołectwo Borówiec i Sołectwo Borówiec Nowy niezbędne jest przeprowadzenie konsultacji społecznych z mieszkańcami </w:t>
      </w:r>
      <w:r w:rsidR="00E62508">
        <w:rPr>
          <w:sz w:val="24"/>
          <w:szCs w:val="24"/>
          <w:lang w:val="pl-PL"/>
        </w:rPr>
        <w:t>w sprawie statutów sołectw.</w:t>
      </w:r>
    </w:p>
    <w:p w:rsidR="00E62508" w:rsidRDefault="00E62508" w:rsidP="00DD3469">
      <w:pPr>
        <w:spacing w:line="276" w:lineRule="auto"/>
        <w:jc w:val="both"/>
        <w:rPr>
          <w:sz w:val="24"/>
          <w:szCs w:val="24"/>
          <w:lang w:val="pl-PL"/>
        </w:rPr>
      </w:pPr>
    </w:p>
    <w:p w:rsidR="00E62508" w:rsidRDefault="00E62508" w:rsidP="00DD3469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Zebrani mieszkańcy zgłosili niezadowolenie, że </w:t>
      </w:r>
      <w:r w:rsidR="00EF75E0">
        <w:rPr>
          <w:sz w:val="24"/>
          <w:szCs w:val="24"/>
          <w:lang w:val="pl-PL"/>
        </w:rPr>
        <w:t>termin konsultacji nie został w żaden sposób rozpowszechniony na terenie obu sołectw, a</w:t>
      </w:r>
      <w:r w:rsidR="008D589F">
        <w:rPr>
          <w:sz w:val="24"/>
          <w:szCs w:val="24"/>
          <w:lang w:val="pl-PL"/>
        </w:rPr>
        <w:t xml:space="preserve"> o</w:t>
      </w:r>
      <w:r w:rsidR="00EF75E0">
        <w:rPr>
          <w:sz w:val="24"/>
          <w:szCs w:val="24"/>
          <w:lang w:val="pl-PL"/>
        </w:rPr>
        <w:t xml:space="preserve"> konsultacjach</w:t>
      </w:r>
      <w:r>
        <w:rPr>
          <w:sz w:val="24"/>
          <w:szCs w:val="24"/>
          <w:lang w:val="pl-PL"/>
        </w:rPr>
        <w:t xml:space="preserve"> dowiedzieli się w dniu ich przeprowadz</w:t>
      </w:r>
      <w:r w:rsidR="00EF75E0">
        <w:rPr>
          <w:sz w:val="24"/>
          <w:szCs w:val="24"/>
          <w:lang w:val="pl-PL"/>
        </w:rPr>
        <w:t xml:space="preserve">enia. </w:t>
      </w:r>
      <w:r w:rsidR="00532A72">
        <w:rPr>
          <w:sz w:val="24"/>
          <w:szCs w:val="24"/>
          <w:lang w:val="pl-PL"/>
        </w:rPr>
        <w:t>Powinno się przyjąć zasadę, że Sołtysi muszą być powiadamiani co najmniej na 7 dni przed planowanym wydarzeniem dot. danego sołectwa.</w:t>
      </w:r>
    </w:p>
    <w:p w:rsidR="00532A72" w:rsidRDefault="00EF75E0" w:rsidP="00DD3469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Zgłoszono również problem dot. komunikacji pomiędzy mieszkańcami, a Urzędem</w:t>
      </w:r>
      <w:r w:rsidR="00532A72">
        <w:rPr>
          <w:sz w:val="24"/>
          <w:szCs w:val="24"/>
          <w:lang w:val="pl-PL"/>
        </w:rPr>
        <w:t>.</w:t>
      </w:r>
    </w:p>
    <w:p w:rsidR="00532A72" w:rsidRDefault="00532A72" w:rsidP="00DD3469">
      <w:pPr>
        <w:spacing w:line="276" w:lineRule="auto"/>
        <w:jc w:val="both"/>
        <w:rPr>
          <w:sz w:val="24"/>
          <w:szCs w:val="24"/>
          <w:lang w:val="pl-PL"/>
        </w:rPr>
      </w:pPr>
    </w:p>
    <w:p w:rsidR="00532A72" w:rsidRDefault="00532A72" w:rsidP="00DD3469">
      <w:pPr>
        <w:spacing w:line="276" w:lineRule="auto"/>
        <w:jc w:val="both"/>
        <w:rPr>
          <w:sz w:val="24"/>
          <w:szCs w:val="24"/>
          <w:lang w:val="pl-PL"/>
        </w:rPr>
      </w:pPr>
    </w:p>
    <w:p w:rsidR="00EF75E0" w:rsidRDefault="008D589F" w:rsidP="00DD3469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532A72">
        <w:rPr>
          <w:sz w:val="24"/>
          <w:szCs w:val="24"/>
          <w:lang w:val="pl-PL"/>
        </w:rPr>
        <w:t xml:space="preserve">ebrani mieszkańcy </w:t>
      </w:r>
      <w:r w:rsidR="00EF75E0">
        <w:rPr>
          <w:sz w:val="24"/>
          <w:szCs w:val="24"/>
          <w:lang w:val="pl-PL"/>
        </w:rPr>
        <w:t xml:space="preserve"> </w:t>
      </w:r>
      <w:r w:rsidR="00532A72">
        <w:rPr>
          <w:sz w:val="24"/>
          <w:szCs w:val="24"/>
          <w:lang w:val="pl-PL"/>
        </w:rPr>
        <w:t>wnieśli następujące uwagi i propozycje zapisów do statutu:</w:t>
      </w:r>
    </w:p>
    <w:p w:rsidR="00142796" w:rsidRDefault="00532A72" w:rsidP="00DD346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statucie powinien znaleźć się zapis dot. </w:t>
      </w:r>
      <w:r w:rsidR="00142796">
        <w:rPr>
          <w:sz w:val="24"/>
          <w:szCs w:val="24"/>
          <w:lang w:val="pl-PL"/>
        </w:rPr>
        <w:t>regulacji powołania organu, który będzie pełnił funkcję Sołtysa do czasu powołania nowego organu, lub ustalenia, iż obecny sołtys będzie pełnił funkcję sołtysa do czasu wyboru nowego sołtysa.</w:t>
      </w:r>
    </w:p>
    <w:p w:rsidR="00142796" w:rsidRDefault="00142796" w:rsidP="00DD3469">
      <w:pPr>
        <w:spacing w:line="276" w:lineRule="auto"/>
        <w:ind w:left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Zapis ten jest konsekwencją stanu w jakim obecnie znajduje się </w:t>
      </w:r>
      <w:r w:rsidR="008D589F">
        <w:rPr>
          <w:sz w:val="24"/>
          <w:szCs w:val="24"/>
          <w:lang w:val="pl-PL"/>
        </w:rPr>
        <w:t>s</w:t>
      </w:r>
      <w:r>
        <w:rPr>
          <w:sz w:val="24"/>
          <w:szCs w:val="24"/>
          <w:lang w:val="pl-PL"/>
        </w:rPr>
        <w:t>ołectwo, gdzie wg. Radcy Prawnego w momencie podjęcia uchwały o podzi</w:t>
      </w:r>
      <w:r w:rsidR="00D43CFA">
        <w:rPr>
          <w:sz w:val="24"/>
          <w:szCs w:val="24"/>
          <w:lang w:val="pl-PL"/>
        </w:rPr>
        <w:t>ał</w:t>
      </w:r>
      <w:r>
        <w:rPr>
          <w:sz w:val="24"/>
          <w:szCs w:val="24"/>
          <w:lang w:val="pl-PL"/>
        </w:rPr>
        <w:t xml:space="preserve"> sołectw</w:t>
      </w:r>
      <w:r w:rsidR="008D589F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na dwie odrębne jednostki dotychczasowy sołtys traci swoją funkcję i w </w:t>
      </w:r>
      <w:r w:rsidR="008D589F">
        <w:rPr>
          <w:sz w:val="24"/>
          <w:szCs w:val="24"/>
          <w:lang w:val="pl-PL"/>
        </w:rPr>
        <w:t>chwil</w:t>
      </w:r>
      <w:r w:rsidR="009A45BF">
        <w:rPr>
          <w:sz w:val="24"/>
          <w:szCs w:val="24"/>
          <w:lang w:val="pl-PL"/>
        </w:rPr>
        <w:t>i</w:t>
      </w:r>
      <w:r w:rsidR="008D589F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obecnej i wieś pozostaje bez Sołtysa.</w:t>
      </w:r>
    </w:p>
    <w:p w:rsidR="00142796" w:rsidRDefault="00142796" w:rsidP="00DD346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§5 pkt.6 w słowniku należy zmienić zapis „rada” na „rada miejska”, ponieważ w dalszej części protokołu mowa jest też o radzie sołeckiej, co może wprowadzać w błąd.</w:t>
      </w:r>
    </w:p>
    <w:p w:rsidR="005D47A6" w:rsidRDefault="00142796" w:rsidP="00DD346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§5 należy dodać pkt. 9 z pojęciem </w:t>
      </w:r>
      <w:r w:rsidR="005D47A6">
        <w:rPr>
          <w:sz w:val="24"/>
          <w:szCs w:val="24"/>
          <w:lang w:val="pl-PL"/>
        </w:rPr>
        <w:t>„rada sołecka”.</w:t>
      </w:r>
    </w:p>
    <w:p w:rsidR="00CE5666" w:rsidRDefault="00CE5666" w:rsidP="00DD346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W §6 należy dodać pkt.11 „integrowanie działań z działaniami sołectwa </w:t>
      </w:r>
      <w:r w:rsidR="009A45BF">
        <w:rPr>
          <w:sz w:val="24"/>
          <w:szCs w:val="24"/>
          <w:lang w:val="pl-PL"/>
        </w:rPr>
        <w:t xml:space="preserve">Borówiec </w:t>
      </w:r>
      <w:r>
        <w:rPr>
          <w:sz w:val="24"/>
          <w:szCs w:val="24"/>
          <w:lang w:val="pl-PL"/>
        </w:rPr>
        <w:t>Nowy”</w:t>
      </w:r>
      <w:r w:rsidR="00C7608D">
        <w:rPr>
          <w:sz w:val="24"/>
          <w:szCs w:val="24"/>
          <w:lang w:val="pl-PL"/>
        </w:rPr>
        <w:t>.</w:t>
      </w:r>
    </w:p>
    <w:p w:rsidR="00C7608D" w:rsidRDefault="00C7608D" w:rsidP="00DD3469">
      <w:pPr>
        <w:spacing w:line="276" w:lineRule="auto"/>
        <w:ind w:left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Statuty obu sołectw powinny brzmieć identycznie. </w:t>
      </w:r>
    </w:p>
    <w:p w:rsidR="00A37AF0" w:rsidRDefault="005D47A6" w:rsidP="00DD346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§7 ust. 1 należy dopisać pkt 3 „rada so</w:t>
      </w:r>
      <w:r w:rsidR="009A45BF">
        <w:rPr>
          <w:sz w:val="24"/>
          <w:szCs w:val="24"/>
          <w:lang w:val="pl-PL"/>
        </w:rPr>
        <w:t>ł</w:t>
      </w:r>
      <w:r>
        <w:rPr>
          <w:sz w:val="24"/>
          <w:szCs w:val="24"/>
          <w:lang w:val="pl-PL"/>
        </w:rPr>
        <w:t xml:space="preserve">ecka”, ponieważ w dalszej części statutu rada sołecka wymieniana jest jako organ </w:t>
      </w:r>
      <w:r w:rsidR="00A37AF0">
        <w:rPr>
          <w:sz w:val="24"/>
          <w:szCs w:val="24"/>
          <w:lang w:val="pl-PL"/>
        </w:rPr>
        <w:t>(§21)</w:t>
      </w:r>
      <w:r>
        <w:rPr>
          <w:sz w:val="24"/>
          <w:szCs w:val="24"/>
          <w:lang w:val="pl-PL"/>
        </w:rPr>
        <w:t>.</w:t>
      </w:r>
      <w:r w:rsidR="00A37AF0">
        <w:rPr>
          <w:sz w:val="24"/>
          <w:szCs w:val="24"/>
          <w:lang w:val="pl-PL"/>
        </w:rPr>
        <w:t xml:space="preserve"> </w:t>
      </w:r>
    </w:p>
    <w:p w:rsidR="005D47A6" w:rsidRDefault="00A37AF0" w:rsidP="00DD3469">
      <w:pPr>
        <w:spacing w:line="276" w:lineRule="auto"/>
        <w:ind w:left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Należy sprecyzować czy rada sołecka jest organem czy nie i zgodnie z tym zmienić zapis </w:t>
      </w:r>
      <w:r w:rsidR="008D589F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>w §7 lub w §21.</w:t>
      </w:r>
    </w:p>
    <w:p w:rsidR="00A37AF0" w:rsidRDefault="005D47A6" w:rsidP="00DD346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§12 ust. 1 po przecinku należy dodać: „lub </w:t>
      </w:r>
      <w:r w:rsidR="00A37AF0">
        <w:rPr>
          <w:sz w:val="24"/>
          <w:szCs w:val="24"/>
          <w:lang w:val="pl-PL"/>
        </w:rPr>
        <w:t>upoważniony przez sołtysa członek rady sołeckiej.”.</w:t>
      </w:r>
    </w:p>
    <w:p w:rsidR="00532A72" w:rsidRPr="00A37AF0" w:rsidRDefault="005D47A6" w:rsidP="00DD346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 w:rsidRPr="00A37AF0">
        <w:rPr>
          <w:sz w:val="24"/>
          <w:szCs w:val="24"/>
          <w:lang w:val="pl-PL"/>
        </w:rPr>
        <w:lastRenderedPageBreak/>
        <w:t xml:space="preserve">  W §23 ust. 4 w drugim zdaniu, po słowie „traci” należy dodać słowo „czynne”. Chodzi </w:t>
      </w:r>
      <w:r w:rsidRPr="00A37AF0">
        <w:rPr>
          <w:sz w:val="24"/>
          <w:szCs w:val="24"/>
          <w:lang w:val="pl-PL"/>
        </w:rPr>
        <w:br/>
        <w:t>o sytuację gdy osoba, która odmówi podpisania listy obecności może pozostać na sali ale nie może brać udziału w głosowaniu.</w:t>
      </w:r>
    </w:p>
    <w:p w:rsidR="00A37AF0" w:rsidRDefault="00A37AF0" w:rsidP="00DD346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§29 ust. 1 pkt. 1 należy skrócić termin z dwóch miesięcy do jednego miesiąca</w:t>
      </w:r>
    </w:p>
    <w:p w:rsidR="005D47A6" w:rsidRDefault="00A37AF0" w:rsidP="00DD346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statucie powinien znaleźć się zapis</w:t>
      </w:r>
      <w:r w:rsidR="00CE5666">
        <w:rPr>
          <w:sz w:val="24"/>
          <w:szCs w:val="24"/>
          <w:lang w:val="pl-PL"/>
        </w:rPr>
        <w:t>, że w szczególnych sytuacjach obaj sołtysi i rady sołeckie powinny współdziałać dla dobra całej wsi</w:t>
      </w:r>
      <w:r>
        <w:rPr>
          <w:sz w:val="24"/>
          <w:szCs w:val="24"/>
          <w:lang w:val="pl-PL"/>
        </w:rPr>
        <w:t>.</w:t>
      </w:r>
      <w:r w:rsidR="00CE5666">
        <w:rPr>
          <w:sz w:val="24"/>
          <w:szCs w:val="24"/>
          <w:lang w:val="pl-PL"/>
        </w:rPr>
        <w:t xml:space="preserve"> </w:t>
      </w:r>
    </w:p>
    <w:p w:rsidR="00435BAF" w:rsidRDefault="00435BAF" w:rsidP="00DD3469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§31 dodać zapis, o możliwości przenoszenia środków sołeckich na przyszły rok. Dotyczy to zadań, których sołectwo nie jest w stanie zrealizować w jednym roku.</w:t>
      </w:r>
    </w:p>
    <w:p w:rsidR="00435BAF" w:rsidRDefault="00435BAF" w:rsidP="00DD3469">
      <w:pPr>
        <w:spacing w:line="276" w:lineRule="auto"/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Pani Agnieszka Wiśniewska wyjaśniła, że zapis ten jest niezgodny z ustawą o funduszach sołeckich.  </w:t>
      </w:r>
    </w:p>
    <w:p w:rsidR="00C7608D" w:rsidRDefault="00C7608D" w:rsidP="00DD3469">
      <w:pPr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§32 powinien znaleźć się zapis dot. koordynacji planów finansowych pomiędzy sołectwami Borówiec i Nowy Borówiec</w:t>
      </w:r>
      <w:r w:rsidR="00435BAF">
        <w:rPr>
          <w:sz w:val="24"/>
          <w:szCs w:val="24"/>
          <w:lang w:val="pl-PL"/>
        </w:rPr>
        <w:t>.</w:t>
      </w:r>
    </w:p>
    <w:p w:rsidR="00435BAF" w:rsidRDefault="00435BAF" w:rsidP="00DD3469">
      <w:pPr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Zwrócono uwagę, że w §26 ust. 1 zostały ograniczone prawa czynne i bierne mieszkańców sołectw poprzez zapis „stale zamieszkujący”.</w:t>
      </w:r>
    </w:p>
    <w:p w:rsidR="00435BAF" w:rsidRDefault="00435BAF" w:rsidP="00DD3469">
      <w:pPr>
        <w:tabs>
          <w:tab w:val="left" w:pos="426"/>
        </w:tabs>
        <w:spacing w:line="276" w:lineRule="auto"/>
        <w:ind w:left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Zapis ten zostanie wyjaśniony przez Radców Prawnych.</w:t>
      </w:r>
    </w:p>
    <w:p w:rsidR="00435BAF" w:rsidRDefault="00435BAF" w:rsidP="00DD3469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Ponadto mieszkańcy zwrócili uwagę, że powinie</w:t>
      </w:r>
      <w:r w:rsidR="008D589F">
        <w:rPr>
          <w:sz w:val="24"/>
          <w:szCs w:val="24"/>
          <w:lang w:val="pl-PL"/>
        </w:rPr>
        <w:t>n</w:t>
      </w:r>
      <w:r>
        <w:rPr>
          <w:sz w:val="24"/>
          <w:szCs w:val="24"/>
          <w:lang w:val="pl-PL"/>
        </w:rPr>
        <w:t xml:space="preserve"> zostać spisany regulamin dotyczący korzystania z świetlicy przez oba sołectwa oraz prowadzenia wspólnych przedsięwzięć obu sołectw.</w:t>
      </w:r>
    </w:p>
    <w:p w:rsidR="00435BAF" w:rsidRDefault="00435BAF" w:rsidP="00DD3469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Poproszono o rozpatrzenie możliwości, aby dotychczasowa Pani Sołtys mogła nadal pełnić obowiązki</w:t>
      </w:r>
      <w:r w:rsidR="008D589F">
        <w:rPr>
          <w:sz w:val="24"/>
          <w:szCs w:val="24"/>
          <w:lang w:val="pl-PL"/>
        </w:rPr>
        <w:t xml:space="preserve"> sołtysa</w:t>
      </w:r>
      <w:r>
        <w:rPr>
          <w:sz w:val="24"/>
          <w:szCs w:val="24"/>
          <w:lang w:val="pl-PL"/>
        </w:rPr>
        <w:t xml:space="preserve"> do czasu wyborów nowych sołtysów. Prośba ta zostanie przekazana Burmistrzowi i </w:t>
      </w:r>
      <w:r w:rsidR="00DD3469">
        <w:rPr>
          <w:sz w:val="24"/>
          <w:szCs w:val="24"/>
          <w:lang w:val="pl-PL"/>
        </w:rPr>
        <w:t>s</w:t>
      </w:r>
      <w:r>
        <w:rPr>
          <w:sz w:val="24"/>
          <w:szCs w:val="24"/>
          <w:lang w:val="pl-PL"/>
        </w:rPr>
        <w:t>konsultowana z radcami prawnymi.</w:t>
      </w:r>
    </w:p>
    <w:p w:rsidR="00DD3469" w:rsidRDefault="00DD3469" w:rsidP="00DD3469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Pani Agnieszka Wiśniewska poinformowała zebranych, że do czasu wyborów nowych sołtysów i rad sołeckich środki finansowe z funduszu sołeckiego zostaną wstrzymane i będą mogły być wydatkowane zgodnie z planem dopiero po wyborach organów sołeckich.</w:t>
      </w:r>
    </w:p>
    <w:p w:rsidR="00DD3469" w:rsidRDefault="00DD3469" w:rsidP="00DD3469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tym temacie również mieszkańcy poprosili o znalezienie sposobu na rozwiązanie tego problemu, ponieważ sołectwo ma zaplanowaną imprezę, na którą zabezpieczono większą część środków z funduszu sołeckiego.</w:t>
      </w:r>
    </w:p>
    <w:p w:rsidR="00DD3469" w:rsidRDefault="00DD3469" w:rsidP="00DD3469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  <w:lang w:val="pl-PL"/>
        </w:rPr>
      </w:pPr>
    </w:p>
    <w:p w:rsidR="00DD3469" w:rsidRDefault="00DD3469" w:rsidP="00DD3469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  <w:lang w:val="pl-PL"/>
        </w:rPr>
      </w:pPr>
    </w:p>
    <w:p w:rsidR="00DD3469" w:rsidRPr="006C5B76" w:rsidRDefault="00DD3469" w:rsidP="00DD3469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tym konsultacje zakończono. Wszystkie uwagi do statutu zostaną rozpatrzone i jeśli będą </w:t>
      </w:r>
      <w:r w:rsidR="00D43CFA">
        <w:rPr>
          <w:sz w:val="24"/>
          <w:szCs w:val="24"/>
          <w:lang w:val="pl-PL"/>
        </w:rPr>
        <w:t>zgodne</w:t>
      </w:r>
      <w:r>
        <w:rPr>
          <w:sz w:val="24"/>
          <w:szCs w:val="24"/>
          <w:lang w:val="pl-PL"/>
        </w:rPr>
        <w:t xml:space="preserve"> z przepisami</w:t>
      </w:r>
      <w:r w:rsidR="008D589F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zostaną uwzględnione.  </w:t>
      </w:r>
    </w:p>
    <w:sectPr w:rsidR="00DD3469" w:rsidRPr="006C5B76" w:rsidSect="00DD346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B5E"/>
    <w:multiLevelType w:val="hybridMultilevel"/>
    <w:tmpl w:val="06A0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A79E1"/>
    <w:multiLevelType w:val="hybridMultilevel"/>
    <w:tmpl w:val="37AC2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gtJCgX20vFDEKko675GB2QA908o=" w:salt="WBY9UXq9uhfqor2UCVeV5Q=="/>
  <w:defaultTabStop w:val="708"/>
  <w:hyphenationZone w:val="425"/>
  <w:characterSpacingControl w:val="doNotCompress"/>
  <w:compat/>
  <w:rsids>
    <w:rsidRoot w:val="006C5B76"/>
    <w:rsid w:val="00142796"/>
    <w:rsid w:val="001F3C57"/>
    <w:rsid w:val="00252A76"/>
    <w:rsid w:val="00435BAF"/>
    <w:rsid w:val="0044268A"/>
    <w:rsid w:val="00532A72"/>
    <w:rsid w:val="005D47A6"/>
    <w:rsid w:val="006C5B76"/>
    <w:rsid w:val="006C7587"/>
    <w:rsid w:val="006F312D"/>
    <w:rsid w:val="007C5665"/>
    <w:rsid w:val="007E715F"/>
    <w:rsid w:val="008D589F"/>
    <w:rsid w:val="00970B57"/>
    <w:rsid w:val="009A45BF"/>
    <w:rsid w:val="009E753C"/>
    <w:rsid w:val="00A37AF0"/>
    <w:rsid w:val="00A46FD6"/>
    <w:rsid w:val="00B34C6D"/>
    <w:rsid w:val="00C1389D"/>
    <w:rsid w:val="00C26E72"/>
    <w:rsid w:val="00C7608D"/>
    <w:rsid w:val="00CE5666"/>
    <w:rsid w:val="00D43CFA"/>
    <w:rsid w:val="00DC3365"/>
    <w:rsid w:val="00DD3469"/>
    <w:rsid w:val="00E62508"/>
    <w:rsid w:val="00E821DC"/>
    <w:rsid w:val="00EA278A"/>
    <w:rsid w:val="00EF75E0"/>
    <w:rsid w:val="00F03F90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8"/>
        <w:sz w:val="22"/>
        <w:szCs w:val="24"/>
        <w:lang w:val="en-US" w:eastAsia="en-US" w:bidi="en-US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3C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5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753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753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753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753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753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753C"/>
    <w:pPr>
      <w:spacing w:before="300"/>
      <w:outlineLvl w:val="6"/>
    </w:pPr>
    <w:rPr>
      <w:caps/>
      <w:color w:val="365F91" w:themeColor="accent1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753C"/>
    <w:pPr>
      <w:spacing w:before="300"/>
      <w:outlineLvl w:val="7"/>
    </w:pPr>
    <w:rPr>
      <w:cap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753C"/>
    <w:pPr>
      <w:spacing w:before="300"/>
      <w:outlineLvl w:val="8"/>
    </w:pPr>
    <w:rPr>
      <w:i/>
      <w:cap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75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753C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753C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753C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753C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753C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753C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753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753C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753C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E753C"/>
    <w:pPr>
      <w:spacing w:before="720"/>
    </w:pPr>
    <w:rPr>
      <w:caps/>
      <w:color w:val="4F81BD" w:themeColor="accent1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753C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753C"/>
    <w:pPr>
      <w:spacing w:after="1000"/>
    </w:pPr>
    <w:rPr>
      <w:caps/>
      <w:color w:val="595959" w:themeColor="text1" w:themeTint="A6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753C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9E753C"/>
    <w:rPr>
      <w:b/>
      <w:bCs/>
    </w:rPr>
  </w:style>
  <w:style w:type="character" w:styleId="Uwydatnienie">
    <w:name w:val="Emphasis"/>
    <w:uiPriority w:val="20"/>
    <w:qFormat/>
    <w:rsid w:val="009E753C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9E753C"/>
  </w:style>
  <w:style w:type="character" w:customStyle="1" w:styleId="BezodstpwZnak">
    <w:name w:val="Bez odstępów Znak"/>
    <w:basedOn w:val="Domylnaczcionkaakapitu"/>
    <w:link w:val="Bezodstpw"/>
    <w:uiPriority w:val="1"/>
    <w:rsid w:val="009E753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E75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E753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753C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753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753C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9E753C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9E753C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9E753C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9E753C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9E753C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75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3782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Pawłowicz-Napieralska</dc:creator>
  <cp:keywords/>
  <dc:description/>
  <cp:lastModifiedBy>Iwona Pawłowicz-Napieralska</cp:lastModifiedBy>
  <cp:revision>2</cp:revision>
  <cp:lastPrinted>2015-08-12T12:22:00Z</cp:lastPrinted>
  <dcterms:created xsi:type="dcterms:W3CDTF">2015-08-17T09:52:00Z</dcterms:created>
  <dcterms:modified xsi:type="dcterms:W3CDTF">2015-08-17T09:52:00Z</dcterms:modified>
</cp:coreProperties>
</file>